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4704" w14:textId="31A9AAF3" w:rsidR="004206F7" w:rsidRDefault="004206F7" w:rsidP="00C60EF0">
      <w:pPr>
        <w:tabs>
          <w:tab w:val="left" w:pos="993"/>
        </w:tabs>
        <w:spacing w:after="0" w:line="240" w:lineRule="auto"/>
        <w:ind w:firstLine="432"/>
        <w:jc w:val="center"/>
        <w:rPr>
          <w:rFonts w:cs="Times New Roman"/>
          <w:b/>
          <w:bCs/>
          <w:szCs w:val="28"/>
          <w:lang w:val="en-US"/>
        </w:rPr>
      </w:pPr>
      <w:r w:rsidRPr="005D576D">
        <w:rPr>
          <w:rFonts w:cs="Times New Roman"/>
          <w:b/>
          <w:bCs/>
          <w:szCs w:val="28"/>
        </w:rPr>
        <w:t>REFERENCES</w:t>
      </w:r>
    </w:p>
    <w:p w14:paraId="737882A6" w14:textId="77777777" w:rsidR="00C60EF0" w:rsidRPr="00C60EF0" w:rsidRDefault="00C60EF0" w:rsidP="00C60EF0">
      <w:pPr>
        <w:tabs>
          <w:tab w:val="left" w:pos="993"/>
        </w:tabs>
        <w:spacing w:after="0" w:line="240" w:lineRule="auto"/>
        <w:ind w:firstLine="432"/>
        <w:jc w:val="center"/>
        <w:rPr>
          <w:rFonts w:cs="Times New Roman"/>
          <w:b/>
          <w:bCs/>
          <w:szCs w:val="28"/>
          <w:lang w:val="en-US"/>
        </w:rPr>
      </w:pPr>
    </w:p>
    <w:p w14:paraId="24C61C73" w14:textId="7DA2E3F7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Dirsehan</w:t>
      </w:r>
      <w:proofErr w:type="spellEnd"/>
      <w:r w:rsidRPr="00B20950">
        <w:rPr>
          <w:sz w:val="28"/>
          <w:szCs w:val="32"/>
          <w:lang w:val="en-US"/>
        </w:rPr>
        <w:t xml:space="preserve">, T., Shurenov, N., </w:t>
      </w:r>
      <w:proofErr w:type="spellStart"/>
      <w:r w:rsidRPr="00B20950">
        <w:rPr>
          <w:sz w:val="28"/>
          <w:szCs w:val="32"/>
          <w:lang w:val="en-US"/>
        </w:rPr>
        <w:t>Tovma</w:t>
      </w:r>
      <w:proofErr w:type="spellEnd"/>
      <w:r w:rsidRPr="00B20950">
        <w:rPr>
          <w:sz w:val="28"/>
          <w:szCs w:val="32"/>
          <w:lang w:val="en-US"/>
        </w:rPr>
        <w:t xml:space="preserve">, N., </w:t>
      </w:r>
      <w:proofErr w:type="spellStart"/>
      <w:r w:rsidRPr="00B20950">
        <w:rPr>
          <w:sz w:val="28"/>
          <w:szCs w:val="32"/>
          <w:lang w:val="en-US"/>
        </w:rPr>
        <w:t>Kozhamkulova</w:t>
      </w:r>
      <w:proofErr w:type="spellEnd"/>
      <w:r w:rsidRPr="00B20950">
        <w:rPr>
          <w:sz w:val="28"/>
          <w:szCs w:val="32"/>
          <w:lang w:val="en-US"/>
        </w:rPr>
        <w:t xml:space="preserve">, </w:t>
      </w:r>
      <w:proofErr w:type="spellStart"/>
      <w:r w:rsidRPr="00B20950">
        <w:rPr>
          <w:sz w:val="28"/>
          <w:szCs w:val="32"/>
          <w:lang w:val="en-US"/>
        </w:rPr>
        <w:t>Zh</w:t>
      </w:r>
      <w:proofErr w:type="spellEnd"/>
      <w:r w:rsidRPr="00B20950">
        <w:rPr>
          <w:sz w:val="28"/>
          <w:szCs w:val="32"/>
          <w:lang w:val="en-US"/>
        </w:rPr>
        <w:t>., Akhmetova, Z.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2023) Challenges and potential of monotowns: a systematic literature review. </w:t>
      </w:r>
      <w:r w:rsidRPr="00B20950">
        <w:rPr>
          <w:i/>
          <w:iCs/>
          <w:sz w:val="28"/>
          <w:szCs w:val="32"/>
          <w:lang w:val="en-US"/>
        </w:rPr>
        <w:t>R-Economy</w:t>
      </w:r>
      <w:r w:rsidRPr="00B20950">
        <w:rPr>
          <w:sz w:val="28"/>
          <w:szCs w:val="32"/>
          <w:lang w:val="en-US"/>
        </w:rPr>
        <w:t>, 9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4), pp. 437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455. </w:t>
      </w:r>
      <w:r>
        <w:fldChar w:fldCharType="begin"/>
      </w:r>
      <w:r w:rsidRPr="00AD76AE">
        <w:rPr>
          <w:lang w:val="en-US"/>
        </w:rPr>
        <w:instrText>HYPERLINK "https://doi.org/10.15826/recon.2023.9.4.027"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https://doi.org/10.15826/recon.2023.9.4.027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"https://elibrary.ru/tbeapa"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https://elibrary.ru/tbeapa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5F3E1B1A" w14:textId="2DC46380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Zemlyanskii, D. Y.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2011) Single-industry towns in Russia. </w:t>
      </w:r>
      <w:r w:rsidRPr="00B20950">
        <w:rPr>
          <w:i/>
          <w:iCs/>
          <w:sz w:val="28"/>
          <w:szCs w:val="32"/>
          <w:lang w:val="en-US"/>
        </w:rPr>
        <w:t>Regional Research of Russia</w:t>
      </w:r>
      <w:r w:rsidRPr="00B20950">
        <w:rPr>
          <w:sz w:val="28"/>
          <w:szCs w:val="32"/>
          <w:lang w:val="en-US"/>
        </w:rPr>
        <w:t>, 1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1), pp. 99</w:t>
      </w:r>
      <w:r w:rsidR="00AE046E" w:rsidRPr="00AE046E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102. </w:t>
      </w:r>
      <w:r>
        <w:fldChar w:fldCharType="begin"/>
      </w:r>
      <w:r w:rsidRPr="00AD76AE">
        <w:rPr>
          <w:lang w:val="en-US"/>
        </w:rPr>
        <w:instrText>HYPERLINK "https://doi.org/10.1134/S2079970511010035"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https://doi.org/10.1134/S2079970511010035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hyperlink r:id="rId8" w:history="1">
        <w:r w:rsidRPr="00B20950">
          <w:rPr>
            <w:rStyle w:val="a7"/>
            <w:sz w:val="28"/>
            <w:szCs w:val="32"/>
            <w:lang w:val="en-US"/>
          </w:rPr>
          <w:t>https://elibrary.ru/vkynbf</w:t>
        </w:r>
      </w:hyperlink>
      <w:r w:rsidRPr="00B20950">
        <w:rPr>
          <w:sz w:val="28"/>
          <w:szCs w:val="32"/>
          <w:lang w:val="en-US"/>
        </w:rPr>
        <w:t>.</w:t>
      </w:r>
    </w:p>
    <w:p w14:paraId="6CA29E8B" w14:textId="0029FECD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</w:rPr>
      </w:pPr>
      <w:r w:rsidRPr="00B20950">
        <w:rPr>
          <w:sz w:val="28"/>
          <w:szCs w:val="32"/>
          <w:lang w:val="en-US"/>
        </w:rPr>
        <w:t>White, N.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2004) Creating community: Industrial paternalism and town planning in Corner Brook, Newfoundland, 1923-1955. </w:t>
      </w:r>
      <w:r w:rsidRPr="00B20950">
        <w:rPr>
          <w:i/>
          <w:iCs/>
          <w:sz w:val="28"/>
          <w:szCs w:val="32"/>
        </w:rPr>
        <w:t xml:space="preserve">Urban </w:t>
      </w:r>
      <w:proofErr w:type="spellStart"/>
      <w:r w:rsidRPr="00B20950">
        <w:rPr>
          <w:i/>
          <w:iCs/>
          <w:sz w:val="28"/>
          <w:szCs w:val="32"/>
        </w:rPr>
        <w:t>History</w:t>
      </w:r>
      <w:proofErr w:type="spellEnd"/>
      <w:r w:rsidRPr="00B20950">
        <w:rPr>
          <w:i/>
          <w:iCs/>
          <w:sz w:val="28"/>
          <w:szCs w:val="32"/>
        </w:rPr>
        <w:t xml:space="preserve"> Review</w:t>
      </w:r>
      <w:r w:rsidRPr="00B20950">
        <w:rPr>
          <w:sz w:val="28"/>
          <w:szCs w:val="32"/>
        </w:rPr>
        <w:t>, 32</w:t>
      </w:r>
      <w:r w:rsidR="00E321E5">
        <w:rPr>
          <w:sz w:val="28"/>
          <w:szCs w:val="32"/>
        </w:rPr>
        <w:t xml:space="preserve"> (</w:t>
      </w:r>
      <w:r w:rsidRPr="00B20950">
        <w:rPr>
          <w:sz w:val="28"/>
          <w:szCs w:val="32"/>
        </w:rPr>
        <w:t xml:space="preserve">2), </w:t>
      </w:r>
      <w:proofErr w:type="spellStart"/>
      <w:r w:rsidRPr="00B20950">
        <w:rPr>
          <w:sz w:val="28"/>
          <w:szCs w:val="32"/>
        </w:rPr>
        <w:t>pp</w:t>
      </w:r>
      <w:proofErr w:type="spellEnd"/>
      <w:r w:rsidRPr="00B20950">
        <w:rPr>
          <w:sz w:val="28"/>
          <w:szCs w:val="32"/>
        </w:rPr>
        <w:t>. 45</w:t>
      </w:r>
      <w:r w:rsidR="00AE046E">
        <w:rPr>
          <w:sz w:val="28"/>
          <w:szCs w:val="32"/>
        </w:rPr>
        <w:t>–</w:t>
      </w:r>
      <w:r w:rsidRPr="00B20950">
        <w:rPr>
          <w:sz w:val="28"/>
          <w:szCs w:val="32"/>
        </w:rPr>
        <w:t xml:space="preserve">58. </w:t>
      </w:r>
      <w:hyperlink r:id="rId9" w:history="1">
        <w:r w:rsidRPr="00B20950">
          <w:rPr>
            <w:rStyle w:val="a7"/>
            <w:sz w:val="28"/>
            <w:szCs w:val="32"/>
          </w:rPr>
          <w:t>https://doi.org/10.7202/1015716ar</w:t>
        </w:r>
      </w:hyperlink>
      <w:r w:rsidRPr="00B20950">
        <w:rPr>
          <w:sz w:val="28"/>
          <w:szCs w:val="32"/>
        </w:rPr>
        <w:t>.</w:t>
      </w:r>
    </w:p>
    <w:p w14:paraId="35A91C21" w14:textId="0BFEEF7E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Turgel</w:t>
      </w:r>
      <w:proofErr w:type="spellEnd"/>
      <w:r w:rsidRPr="00B20950">
        <w:rPr>
          <w:sz w:val="28"/>
          <w:szCs w:val="32"/>
          <w:lang w:val="en-US"/>
        </w:rPr>
        <w:t>, I., Bozhko, L., Xu, L.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2016) Government support of single-industry towns in Russia and Kazakhstan. </w:t>
      </w:r>
      <w:r w:rsidRPr="00B20950">
        <w:rPr>
          <w:i/>
          <w:iCs/>
          <w:sz w:val="28"/>
          <w:szCs w:val="32"/>
          <w:lang w:val="en-US"/>
        </w:rPr>
        <w:t>Finance: Theory and Practice</w:t>
      </w:r>
      <w:r w:rsidRPr="00B20950">
        <w:rPr>
          <w:sz w:val="28"/>
          <w:szCs w:val="32"/>
          <w:lang w:val="en-US"/>
        </w:rPr>
        <w:t>, 20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2), pp. 22</w:t>
      </w:r>
      <w:r w:rsidR="00AE046E">
        <w:rPr>
          <w:sz w:val="28"/>
          <w:szCs w:val="32"/>
        </w:rPr>
        <w:t>–</w:t>
      </w:r>
      <w:r w:rsidRPr="00B20950">
        <w:rPr>
          <w:sz w:val="28"/>
          <w:szCs w:val="32"/>
          <w:lang w:val="en-US"/>
        </w:rPr>
        <w:t xml:space="preserve">32. </w:t>
      </w:r>
      <w:hyperlink r:id="rId10" w:history="1">
        <w:r w:rsidRPr="00B20950">
          <w:rPr>
            <w:rStyle w:val="a7"/>
            <w:sz w:val="28"/>
            <w:szCs w:val="32"/>
            <w:lang w:val="en-US"/>
          </w:rPr>
          <w:t>https://elibrary.ru/wdcjgr</w:t>
        </w:r>
      </w:hyperlink>
      <w:r w:rsidRPr="00B20950">
        <w:rPr>
          <w:sz w:val="28"/>
          <w:szCs w:val="32"/>
          <w:lang w:val="en-US"/>
        </w:rPr>
        <w:t>.</w:t>
      </w:r>
    </w:p>
    <w:p w14:paraId="33A8EB8A" w14:textId="1A721818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Satybaldina</w:t>
      </w:r>
      <w:proofErr w:type="spellEnd"/>
      <w:r w:rsidRPr="00B20950">
        <w:rPr>
          <w:sz w:val="28"/>
          <w:szCs w:val="32"/>
          <w:lang w:val="en-US"/>
        </w:rPr>
        <w:t>, E. V.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2015) Monotowns in Russia and in other Countries: </w:t>
      </w:r>
      <w:proofErr w:type="spellStart"/>
      <w:r w:rsidRPr="00B20950">
        <w:rPr>
          <w:sz w:val="28"/>
          <w:szCs w:val="32"/>
          <w:lang w:val="en-US"/>
        </w:rPr>
        <w:t>Similiarities</w:t>
      </w:r>
      <w:proofErr w:type="spellEnd"/>
      <w:r w:rsidRPr="00B20950">
        <w:rPr>
          <w:sz w:val="28"/>
          <w:szCs w:val="32"/>
          <w:lang w:val="en-US"/>
        </w:rPr>
        <w:t xml:space="preserve"> and Differences. </w:t>
      </w:r>
      <w:r w:rsidRPr="00B20950">
        <w:rPr>
          <w:i/>
          <w:iCs/>
          <w:sz w:val="28"/>
          <w:szCs w:val="32"/>
          <w:lang w:val="en-US"/>
        </w:rPr>
        <w:t>Journal of Advanced Research in Law and Economics</w:t>
      </w:r>
      <w:r w:rsidR="00E321E5">
        <w:rPr>
          <w:i/>
          <w:iCs/>
          <w:sz w:val="28"/>
          <w:szCs w:val="32"/>
          <w:lang w:val="en-US"/>
        </w:rPr>
        <w:t xml:space="preserve"> (</w:t>
      </w:r>
      <w:r w:rsidRPr="00B20950">
        <w:rPr>
          <w:i/>
          <w:iCs/>
          <w:sz w:val="28"/>
          <w:szCs w:val="32"/>
          <w:lang w:val="en-US"/>
        </w:rPr>
        <w:t>JARLE)</w:t>
      </w:r>
      <w:r w:rsidRPr="00B20950">
        <w:rPr>
          <w:sz w:val="28"/>
          <w:szCs w:val="32"/>
          <w:lang w:val="en-US"/>
        </w:rPr>
        <w:t>, 6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12), pp. 371</w:t>
      </w:r>
      <w:r w:rsidR="00AE046E" w:rsidRPr="00AE046E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379. </w:t>
      </w:r>
      <w:r>
        <w:fldChar w:fldCharType="begin"/>
      </w:r>
      <w:r w:rsidRPr="00AD76AE">
        <w:rPr>
          <w:lang w:val="en-US"/>
        </w:rPr>
        <w:instrText>HYPERLINK "https://doi.org/10.14505/jarle.v6.2(12).13"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https://doi.org/10.14505/jarle.v6.2</w:t>
      </w:r>
      <w:r w:rsidR="00E321E5">
        <w:rPr>
          <w:rStyle w:val="a7"/>
          <w:sz w:val="28"/>
          <w:szCs w:val="32"/>
          <w:lang w:val="en-US"/>
        </w:rPr>
        <w:t xml:space="preserve"> (</w:t>
      </w:r>
      <w:r w:rsidRPr="00B20950">
        <w:rPr>
          <w:rStyle w:val="a7"/>
          <w:sz w:val="28"/>
          <w:szCs w:val="32"/>
          <w:lang w:val="en-US"/>
        </w:rPr>
        <w:t>12).13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hyperlink r:id="rId11" w:history="1">
        <w:r w:rsidRPr="00B20950">
          <w:rPr>
            <w:rStyle w:val="a7"/>
            <w:sz w:val="28"/>
            <w:szCs w:val="32"/>
            <w:lang w:val="en-US"/>
          </w:rPr>
          <w:t>https://elibrary.ru/wpxuwr</w:t>
        </w:r>
      </w:hyperlink>
      <w:r w:rsidRPr="00B20950">
        <w:rPr>
          <w:sz w:val="28"/>
          <w:szCs w:val="32"/>
          <w:lang w:val="en-US"/>
        </w:rPr>
        <w:t>.</w:t>
      </w:r>
    </w:p>
    <w:p w14:paraId="7260E6E5" w14:textId="44AB6BC8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Nikolaeva, A. S.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2024) Conditions for sustainable development in single-industry towns. </w:t>
      </w:r>
      <w:r w:rsidRPr="00B20950">
        <w:rPr>
          <w:i/>
          <w:iCs/>
          <w:sz w:val="28"/>
          <w:szCs w:val="32"/>
          <w:lang w:val="en-US"/>
        </w:rPr>
        <w:t>Modern Science: Actual Problems of Theory and Practice. Series: Economics and Law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6), pp. 64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67. </w:t>
      </w:r>
      <w:r>
        <w:fldChar w:fldCharType="begin"/>
      </w:r>
      <w:r w:rsidRPr="00AD76AE">
        <w:rPr>
          <w:lang w:val="en-US"/>
        </w:rPr>
        <w:instrText>HYPERLINK "https://doi.org/10.37882/2223-2974.2024.06.29"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https://doi.org/10.37882/2223-2974.2024.06.29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hyperlink r:id="rId12" w:history="1">
        <w:r w:rsidRPr="00B20950">
          <w:rPr>
            <w:rStyle w:val="a7"/>
            <w:sz w:val="28"/>
            <w:szCs w:val="32"/>
            <w:lang w:val="en-US"/>
          </w:rPr>
          <w:t>https://elibrary.ru/bnslrq</w:t>
        </w:r>
      </w:hyperlink>
      <w:r w:rsidRPr="00B20950">
        <w:rPr>
          <w:sz w:val="28"/>
          <w:szCs w:val="32"/>
          <w:lang w:val="en-US"/>
        </w:rPr>
        <w:t>.</w:t>
      </w:r>
    </w:p>
    <w:p w14:paraId="0A86D043" w14:textId="227BA64B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</w:rPr>
      </w:pPr>
      <w:r w:rsidRPr="00B20950">
        <w:rPr>
          <w:sz w:val="28"/>
          <w:szCs w:val="32"/>
          <w:lang w:val="en-US"/>
        </w:rPr>
        <w:t>Bole, D.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2022) Chapter 7: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Re)discovering the small and medium-sized industrial town and its development potential. In: </w:t>
      </w:r>
      <w:r w:rsidRPr="00B20950">
        <w:rPr>
          <w:i/>
          <w:iCs/>
          <w:sz w:val="28"/>
          <w:szCs w:val="32"/>
          <w:lang w:val="en-US"/>
        </w:rPr>
        <w:t>A Research Agenda for Small and Medium-Sized Towns</w:t>
      </w:r>
      <w:r w:rsidRPr="00B20950">
        <w:rPr>
          <w:sz w:val="28"/>
          <w:szCs w:val="32"/>
          <w:lang w:val="en-US"/>
        </w:rPr>
        <w:t xml:space="preserve">. Cheltenham, UK: Edward Elgar Publishing, pp. </w:t>
      </w:r>
      <w:r w:rsidRPr="00B20950">
        <w:rPr>
          <w:sz w:val="28"/>
          <w:szCs w:val="28"/>
          <w:lang w:val="en-US"/>
        </w:rPr>
        <w:t>89</w:t>
      </w:r>
      <w:r w:rsidR="00AE046E">
        <w:rPr>
          <w:sz w:val="28"/>
          <w:szCs w:val="28"/>
        </w:rPr>
        <w:t>–</w:t>
      </w:r>
      <w:r w:rsidRPr="00B20950">
        <w:rPr>
          <w:sz w:val="28"/>
          <w:szCs w:val="28"/>
          <w:lang w:val="en-US"/>
        </w:rPr>
        <w:t>106</w:t>
      </w:r>
      <w:r w:rsidRPr="00B20950">
        <w:rPr>
          <w:sz w:val="28"/>
          <w:szCs w:val="32"/>
          <w:lang w:val="en-US"/>
        </w:rPr>
        <w:t xml:space="preserve">. </w:t>
      </w:r>
      <w:hyperlink r:id="rId13" w:history="1">
        <w:r w:rsidRPr="00B20950">
          <w:rPr>
            <w:rStyle w:val="a7"/>
            <w:sz w:val="28"/>
            <w:szCs w:val="32"/>
          </w:rPr>
          <w:t>https://doi.org/10.4337/9781800887121.00011</w:t>
        </w:r>
      </w:hyperlink>
      <w:r w:rsidRPr="00B20950">
        <w:rPr>
          <w:sz w:val="28"/>
          <w:szCs w:val="32"/>
        </w:rPr>
        <w:t>.</w:t>
      </w:r>
    </w:p>
    <w:p w14:paraId="70F0518F" w14:textId="3A542BE4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Chashchina</w:t>
      </w:r>
      <w:proofErr w:type="spellEnd"/>
      <w:r w:rsidRPr="00B20950">
        <w:rPr>
          <w:sz w:val="28"/>
          <w:szCs w:val="32"/>
          <w:lang w:val="en-US"/>
        </w:rPr>
        <w:t>, E. P., Antipin, I. A.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2025) Conceptual prerequisites for strategic development of single-industry towns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the Kirov oblast case). </w:t>
      </w:r>
      <w:r w:rsidRPr="00B20950">
        <w:rPr>
          <w:i/>
          <w:iCs/>
          <w:sz w:val="28"/>
          <w:szCs w:val="32"/>
          <w:lang w:val="en-US"/>
        </w:rPr>
        <w:t>Economic Analysis: Theory and Practice</w:t>
      </w:r>
      <w:r w:rsidRPr="00B20950">
        <w:rPr>
          <w:sz w:val="28"/>
          <w:szCs w:val="32"/>
          <w:lang w:val="en-US"/>
        </w:rPr>
        <w:t>, 12, pp. 80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90. </w:t>
      </w:r>
      <w:r>
        <w:fldChar w:fldCharType="begin"/>
      </w:r>
      <w:r w:rsidRPr="00AD76AE">
        <w:rPr>
          <w:lang w:val="en-US"/>
        </w:rPr>
        <w:instrText>HYPERLINK "https://doi.org/10.24891/wykimh"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https://doi.org/10.24891/wykimh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"https://elibrary.ru/wykimh"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https://elibrary.ru/wykimh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4E75D621" w14:textId="7C2E9734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Yessengeldin</w:t>
      </w:r>
      <w:proofErr w:type="spellEnd"/>
      <w:r w:rsidRPr="00B20950">
        <w:rPr>
          <w:sz w:val="28"/>
          <w:szCs w:val="32"/>
          <w:lang w:val="en-US"/>
        </w:rPr>
        <w:t xml:space="preserve">, B. S., </w:t>
      </w:r>
      <w:proofErr w:type="spellStart"/>
      <w:r w:rsidRPr="00B20950">
        <w:rPr>
          <w:sz w:val="28"/>
          <w:szCs w:val="32"/>
          <w:lang w:val="en-US"/>
        </w:rPr>
        <w:t>Mukhamediyeva</w:t>
      </w:r>
      <w:proofErr w:type="spellEnd"/>
      <w:r w:rsidRPr="00B20950">
        <w:rPr>
          <w:sz w:val="28"/>
          <w:szCs w:val="32"/>
          <w:lang w:val="en-US"/>
        </w:rPr>
        <w:t>, G. M., Akybayeva, G. S., Zhanseitov, A. T.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2018) The role of </w:t>
      </w:r>
      <w:r w:rsidR="00E321E5">
        <w:rPr>
          <w:sz w:val="28"/>
          <w:szCs w:val="32"/>
          <w:lang w:val="en-US"/>
        </w:rPr>
        <w:t>«</w:t>
      </w:r>
      <w:r w:rsidRPr="00B20950">
        <w:rPr>
          <w:sz w:val="28"/>
          <w:szCs w:val="32"/>
          <w:lang w:val="en-US"/>
        </w:rPr>
        <w:t>Smart city</w:t>
      </w:r>
      <w:r w:rsidR="00E321E5">
        <w:rPr>
          <w:sz w:val="28"/>
          <w:szCs w:val="32"/>
          <w:lang w:val="en-US"/>
        </w:rPr>
        <w:t>»</w:t>
      </w:r>
      <w:r w:rsidRPr="00B20950">
        <w:rPr>
          <w:sz w:val="28"/>
          <w:szCs w:val="32"/>
          <w:lang w:val="en-US"/>
        </w:rPr>
        <w:t xml:space="preserve"> concept in social infrastructure management of single industry towns. </w:t>
      </w:r>
      <w:r w:rsidRPr="00B20950">
        <w:rPr>
          <w:i/>
          <w:iCs/>
          <w:sz w:val="28"/>
          <w:szCs w:val="32"/>
          <w:lang w:val="en-US"/>
        </w:rPr>
        <w:t>Bulletin of Karaganda University. Economy Series</w:t>
      </w:r>
      <w:r w:rsidRPr="00B20950">
        <w:rPr>
          <w:sz w:val="28"/>
          <w:szCs w:val="32"/>
          <w:lang w:val="en-US"/>
        </w:rPr>
        <w:t>, 92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4), pp. 55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62. </w:t>
      </w:r>
      <w:r>
        <w:fldChar w:fldCharType="begin"/>
      </w:r>
      <w:r w:rsidRPr="00AD76AE">
        <w:rPr>
          <w:lang w:val="en-US"/>
        </w:rPr>
        <w:instrText>HYPERLINK "https://elibrary.ru/xxjzun"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https://elibrary.ru/xxjzun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19A4A182" w14:textId="133DA198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 xml:space="preserve">Brykov, V. A., </w:t>
      </w:r>
      <w:proofErr w:type="spellStart"/>
      <w:r w:rsidRPr="00B20950">
        <w:rPr>
          <w:sz w:val="28"/>
          <w:szCs w:val="32"/>
          <w:lang w:val="en-US"/>
        </w:rPr>
        <w:t>Yakimchik</w:t>
      </w:r>
      <w:proofErr w:type="spellEnd"/>
      <w:r w:rsidRPr="00B20950">
        <w:rPr>
          <w:sz w:val="28"/>
          <w:szCs w:val="32"/>
          <w:lang w:val="en-US"/>
        </w:rPr>
        <w:t xml:space="preserve">, I. I., </w:t>
      </w:r>
      <w:proofErr w:type="spellStart"/>
      <w:r w:rsidRPr="00B20950">
        <w:rPr>
          <w:sz w:val="28"/>
          <w:szCs w:val="32"/>
          <w:lang w:val="en-US"/>
        </w:rPr>
        <w:t>Bulgarov</w:t>
      </w:r>
      <w:proofErr w:type="spellEnd"/>
      <w:r w:rsidRPr="00B20950">
        <w:rPr>
          <w:sz w:val="28"/>
          <w:szCs w:val="32"/>
          <w:lang w:val="en-US"/>
        </w:rPr>
        <w:t>, M. A.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2025) Monotowns of Russia: problems of transformation of economic structure. </w:t>
      </w:r>
      <w:r w:rsidRPr="00B20950">
        <w:rPr>
          <w:i/>
          <w:iCs/>
          <w:sz w:val="28"/>
          <w:szCs w:val="32"/>
          <w:lang w:val="en-US"/>
        </w:rPr>
        <w:t>Innovative economy: information, analytics, forecasts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5), pp. 31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36. https://doi.org/10.47576/2949-1894.2025.5.5.004. </w:t>
      </w:r>
      <w:r>
        <w:fldChar w:fldCharType="begin"/>
      </w:r>
      <w:r w:rsidRPr="00AD76AE">
        <w:rPr>
          <w:lang w:val="en-US"/>
        </w:rPr>
        <w:instrText>HYPERLINK "https://elibrary.ru/quzsss"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https://elibrary.ru/quzsss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5BD4B2D2" w14:textId="774D037A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Larchenko, O. V.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2019) Modern problems of monotowns and their solutions: foreign and domestic experience. </w:t>
      </w:r>
      <w:r w:rsidRPr="00B20950">
        <w:rPr>
          <w:i/>
          <w:iCs/>
          <w:sz w:val="28"/>
          <w:szCs w:val="32"/>
          <w:lang w:val="en-US"/>
        </w:rPr>
        <w:t>Regional problems of transforming the economy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8), pp. 121</w:t>
      </w:r>
      <w:r w:rsidR="00AE046E" w:rsidRPr="00AE046E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128. https://doi.org/10.26726/1812-7096-2019-8-121-128. </w:t>
      </w:r>
      <w:r>
        <w:fldChar w:fldCharType="begin"/>
      </w:r>
      <w:r w:rsidRPr="00AD76AE">
        <w:rPr>
          <w:lang w:val="en-US"/>
        </w:rPr>
        <w:instrText>HYPERLINK "https://elibrary.ru/amdtyr"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https://elibrary.ru/amdtyr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09DCFDC8" w14:textId="06A227FC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lastRenderedPageBreak/>
        <w:t>Bachurinskaya</w:t>
      </w:r>
      <w:proofErr w:type="spellEnd"/>
      <w:r w:rsidRPr="00B20950">
        <w:rPr>
          <w:sz w:val="28"/>
          <w:szCs w:val="32"/>
          <w:lang w:val="en-US"/>
        </w:rPr>
        <w:t xml:space="preserve">, I. A., </w:t>
      </w:r>
      <w:proofErr w:type="spellStart"/>
      <w:r w:rsidRPr="00B20950">
        <w:rPr>
          <w:sz w:val="28"/>
          <w:szCs w:val="32"/>
          <w:lang w:val="en-US"/>
        </w:rPr>
        <w:t>Kaplaukh</w:t>
      </w:r>
      <w:proofErr w:type="spellEnd"/>
      <w:r w:rsidRPr="00B20950">
        <w:rPr>
          <w:sz w:val="28"/>
          <w:szCs w:val="32"/>
          <w:lang w:val="en-US"/>
        </w:rPr>
        <w:t>, Yu. D.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2023) Spatial and territorial development of single-industry towns: history and modernity. </w:t>
      </w:r>
      <w:r w:rsidRPr="00B20950">
        <w:rPr>
          <w:i/>
          <w:iCs/>
          <w:sz w:val="28"/>
          <w:szCs w:val="32"/>
          <w:lang w:val="en-US"/>
        </w:rPr>
        <w:t>Russian Regions in the Focus of Change: Collection of reports of the XVIII International Conference, Yekaterinburg, November 16</w:t>
      </w:r>
      <w:r w:rsidR="00AE046E" w:rsidRPr="00AE046E">
        <w:rPr>
          <w:i/>
          <w:iCs/>
          <w:sz w:val="28"/>
          <w:szCs w:val="32"/>
          <w:lang w:val="en-US"/>
        </w:rPr>
        <w:t>–</w:t>
      </w:r>
      <w:r w:rsidRPr="00B20950">
        <w:rPr>
          <w:i/>
          <w:iCs/>
          <w:sz w:val="28"/>
          <w:szCs w:val="32"/>
          <w:lang w:val="en-US"/>
        </w:rPr>
        <w:t>18, 2023</w:t>
      </w:r>
      <w:r w:rsidRPr="00B20950">
        <w:rPr>
          <w:sz w:val="28"/>
          <w:szCs w:val="32"/>
          <w:lang w:val="en-US"/>
        </w:rPr>
        <w:t>. Yekaterinburg</w:t>
      </w:r>
      <w:r w:rsidRPr="00AE046E">
        <w:rPr>
          <w:sz w:val="28"/>
          <w:szCs w:val="32"/>
          <w:lang w:val="en-US"/>
        </w:rPr>
        <w:t xml:space="preserve">, </w:t>
      </w:r>
      <w:proofErr w:type="spellStart"/>
      <w:r w:rsidRPr="00B20950">
        <w:rPr>
          <w:sz w:val="28"/>
          <w:szCs w:val="32"/>
          <w:lang w:val="en-US"/>
        </w:rPr>
        <w:t>Azhur</w:t>
      </w:r>
      <w:proofErr w:type="spellEnd"/>
      <w:r w:rsidRPr="00B20950">
        <w:rPr>
          <w:sz w:val="28"/>
          <w:szCs w:val="32"/>
          <w:lang w:val="en-US"/>
        </w:rPr>
        <w:t xml:space="preserve"> Publishing House, pp. 894</w:t>
      </w:r>
      <w:r w:rsidR="00AE046E">
        <w:rPr>
          <w:sz w:val="28"/>
          <w:szCs w:val="32"/>
        </w:rPr>
        <w:t>–</w:t>
      </w:r>
      <w:r w:rsidRPr="00B20950">
        <w:rPr>
          <w:sz w:val="28"/>
          <w:szCs w:val="32"/>
          <w:lang w:val="en-US"/>
        </w:rPr>
        <w:t xml:space="preserve">897. </w:t>
      </w:r>
      <w:hyperlink r:id="rId14" w:history="1">
        <w:r w:rsidRPr="00B20950">
          <w:rPr>
            <w:rStyle w:val="a7"/>
            <w:sz w:val="28"/>
            <w:szCs w:val="32"/>
            <w:lang w:val="en-US"/>
          </w:rPr>
          <w:t>https://elibrary.ru/cqbdtj</w:t>
        </w:r>
      </w:hyperlink>
      <w:r w:rsidRPr="00B20950">
        <w:rPr>
          <w:sz w:val="28"/>
          <w:szCs w:val="32"/>
          <w:lang w:val="en-US"/>
        </w:rPr>
        <w:t>.</w:t>
      </w:r>
    </w:p>
    <w:p w14:paraId="7E008CD0" w14:textId="01A99504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 xml:space="preserve">Fedoseeva, S. S., </w:t>
      </w:r>
      <w:proofErr w:type="spellStart"/>
      <w:r w:rsidRPr="00B20950">
        <w:rPr>
          <w:sz w:val="28"/>
          <w:szCs w:val="32"/>
          <w:lang w:val="en-US"/>
        </w:rPr>
        <w:t>Ionova</w:t>
      </w:r>
      <w:proofErr w:type="spellEnd"/>
      <w:r w:rsidRPr="00B20950">
        <w:rPr>
          <w:sz w:val="28"/>
          <w:szCs w:val="32"/>
          <w:lang w:val="en-US"/>
        </w:rPr>
        <w:t>, I. G., Balandin, D. A.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2023) Spatial development of regional monotowns in conditions of modern economic uncertainty. </w:t>
      </w:r>
      <w:proofErr w:type="spellStart"/>
      <w:r w:rsidRPr="00B20950">
        <w:rPr>
          <w:i/>
          <w:iCs/>
          <w:sz w:val="28"/>
          <w:szCs w:val="32"/>
          <w:lang w:val="en-US"/>
        </w:rPr>
        <w:t>Vestnik</w:t>
      </w:r>
      <w:proofErr w:type="spellEnd"/>
      <w:r w:rsidRPr="00B20950">
        <w:rPr>
          <w:i/>
          <w:iCs/>
          <w:sz w:val="28"/>
          <w:szCs w:val="32"/>
          <w:lang w:val="en-US"/>
        </w:rPr>
        <w:t xml:space="preserve"> of Astrakhan State Technical University. Series: Economics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2), pp. 23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33. </w:t>
      </w:r>
      <w:r>
        <w:fldChar w:fldCharType="begin"/>
      </w:r>
      <w:r w:rsidRPr="00AD76AE">
        <w:rPr>
          <w:lang w:val="en-US"/>
        </w:rPr>
        <w:instrText>HYPERLINK "https://doi.org/10.24143/2073-5537-2023-2-23-33"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https://doi.org/10.24143/2073-5537-2023-2-23-33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"https://elibrary.ru/xyzerw"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https://elibrary.ru/xyzerw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7626F960" w14:textId="14A4F2F0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Assanova</w:t>
      </w:r>
      <w:proofErr w:type="spellEnd"/>
      <w:r w:rsidRPr="00B20950">
        <w:rPr>
          <w:sz w:val="28"/>
          <w:szCs w:val="32"/>
          <w:lang w:val="en-US"/>
        </w:rPr>
        <w:t xml:space="preserve">, G. B., </w:t>
      </w:r>
      <w:proofErr w:type="spellStart"/>
      <w:r w:rsidRPr="00B20950">
        <w:rPr>
          <w:sz w:val="28"/>
          <w:szCs w:val="32"/>
          <w:lang w:val="en-US"/>
        </w:rPr>
        <w:t>Nurseitova</w:t>
      </w:r>
      <w:proofErr w:type="spellEnd"/>
      <w:r w:rsidRPr="00B20950">
        <w:rPr>
          <w:sz w:val="28"/>
          <w:szCs w:val="32"/>
          <w:lang w:val="en-US"/>
        </w:rPr>
        <w:t>, G. B.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2022) Analysis of programs for the development of </w:t>
      </w:r>
      <w:proofErr w:type="spellStart"/>
      <w:r w:rsidRPr="00B20950">
        <w:rPr>
          <w:sz w:val="28"/>
          <w:szCs w:val="32"/>
          <w:lang w:val="en-US"/>
        </w:rPr>
        <w:t>singleindustry</w:t>
      </w:r>
      <w:proofErr w:type="spellEnd"/>
      <w:r w:rsidRPr="00B20950">
        <w:rPr>
          <w:sz w:val="28"/>
          <w:szCs w:val="32"/>
          <w:lang w:val="en-US"/>
        </w:rPr>
        <w:t xml:space="preserve"> towns in the republic of Kazakhstan. </w:t>
      </w:r>
      <w:r w:rsidRPr="00B20950">
        <w:rPr>
          <w:i/>
          <w:iCs/>
          <w:sz w:val="28"/>
          <w:szCs w:val="32"/>
          <w:lang w:val="en-US"/>
        </w:rPr>
        <w:t>Central Asian Economic Review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1), pp. 73</w:t>
      </w:r>
      <w:r w:rsidR="00AE046E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85. </w:t>
      </w:r>
      <w:r>
        <w:fldChar w:fldCharType="begin"/>
      </w:r>
      <w:r w:rsidRPr="00AD76AE">
        <w:rPr>
          <w:lang w:val="en-US"/>
        </w:rPr>
        <w:instrText>HYPERLINK "https://doi.org/10.52821/2789-4401-2022-1-73-85"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https://doi.org/10.52821/2789-4401-2022-1-73-85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"https://elibrary.ru/icppar"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https://elibrary.ru/icppar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5039D4C8" w14:textId="50338125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Akinfeeva, E. V., Nikonova, M. A.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2022) Single-industry town: assessing the activity of town-forming enterprise. </w:t>
      </w:r>
      <w:r w:rsidRPr="00B20950">
        <w:rPr>
          <w:i/>
          <w:iCs/>
          <w:sz w:val="28"/>
          <w:szCs w:val="32"/>
          <w:lang w:val="en-US"/>
        </w:rPr>
        <w:t>Economic Analysis: Theory and Practice</w:t>
      </w:r>
      <w:r w:rsidRPr="00B20950">
        <w:rPr>
          <w:sz w:val="28"/>
          <w:szCs w:val="32"/>
          <w:lang w:val="en-US"/>
        </w:rPr>
        <w:t>, 21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6), pp. 1018</w:t>
      </w:r>
      <w:r w:rsidR="00EA35CA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1048. </w:t>
      </w:r>
      <w:r>
        <w:fldChar w:fldCharType="begin"/>
      </w:r>
      <w:r w:rsidRPr="00AD76AE">
        <w:rPr>
          <w:lang w:val="en-US"/>
        </w:rPr>
        <w:instrText>HYPERLINK "https://doi.org/10.24891/ea.21.6.1018"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https://doi.org/10.24891/ea.21.6.1018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"https://elibrary.ru/lpvhma"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https://elibrary.ru/lpvhma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55A4CEB4" w14:textId="6AD0460C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Nikonorov, S. M., Krivichev, A. I., Nasonov, A. N., Tsvetkov, I. V.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2024) Methodology for assessing and ranking of the socio-economic development of single-industry towns based on multifactor analysis of fractal indicators. </w:t>
      </w:r>
      <w:r w:rsidRPr="00B20950">
        <w:rPr>
          <w:i/>
          <w:iCs/>
          <w:sz w:val="28"/>
          <w:szCs w:val="32"/>
          <w:lang w:val="en-US"/>
        </w:rPr>
        <w:t>Russian Journal of Regional Studies</w:t>
      </w:r>
      <w:r w:rsidRPr="00B20950">
        <w:rPr>
          <w:sz w:val="28"/>
          <w:szCs w:val="32"/>
          <w:lang w:val="en-US"/>
        </w:rPr>
        <w:t>, 32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2), pp. 326</w:t>
      </w:r>
      <w:r w:rsidR="00EA35CA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344. </w:t>
      </w:r>
      <w:r>
        <w:fldChar w:fldCharType="begin"/>
      </w:r>
      <w:r w:rsidRPr="00AD76AE">
        <w:rPr>
          <w:lang w:val="en-US"/>
        </w:rPr>
        <w:instrText>HYPERLINK "https://doi.org/10.15507/2413-1407.127.032.202402.326-344"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https://doi.org/10.15507/2413-1407.127.032.202402.326-344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"https://elibrary.ru/wxdcvx"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https://elibrary.ru/wxdcvx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2E9AA543" w14:textId="7C52FFD1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proofErr w:type="spellStart"/>
      <w:r w:rsidRPr="00B20950">
        <w:rPr>
          <w:sz w:val="28"/>
          <w:szCs w:val="32"/>
          <w:lang w:val="en-US"/>
        </w:rPr>
        <w:t>Nedoseka</w:t>
      </w:r>
      <w:proofErr w:type="spellEnd"/>
      <w:r w:rsidRPr="00B20950">
        <w:rPr>
          <w:sz w:val="28"/>
          <w:szCs w:val="32"/>
          <w:lang w:val="en-US"/>
        </w:rPr>
        <w:t>, E. V., Karbainov, N. I.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2020) “Dying” or “new life” of single-industry towns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the case study of socio-economic adaptation of residents of single-industry settlements in the North-West of Russia). </w:t>
      </w:r>
      <w:r w:rsidRPr="00B20950">
        <w:rPr>
          <w:i/>
          <w:iCs/>
          <w:sz w:val="28"/>
          <w:szCs w:val="32"/>
          <w:lang w:val="en-US"/>
        </w:rPr>
        <w:t xml:space="preserve">Arktika </w:t>
      </w:r>
      <w:proofErr w:type="spellStart"/>
      <w:r w:rsidRPr="00B20950">
        <w:rPr>
          <w:i/>
          <w:iCs/>
          <w:sz w:val="28"/>
          <w:szCs w:val="32"/>
          <w:lang w:val="en-US"/>
        </w:rPr>
        <w:t>i</w:t>
      </w:r>
      <w:proofErr w:type="spellEnd"/>
      <w:r w:rsidRPr="00B20950">
        <w:rPr>
          <w:i/>
          <w:iCs/>
          <w:sz w:val="28"/>
          <w:szCs w:val="32"/>
          <w:lang w:val="en-US"/>
        </w:rPr>
        <w:t xml:space="preserve"> Sever [Arctic and North]</w:t>
      </w:r>
      <w:r w:rsidRPr="00B20950">
        <w:rPr>
          <w:sz w:val="28"/>
          <w:szCs w:val="32"/>
          <w:lang w:val="en-US"/>
        </w:rPr>
        <w:t>,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41), pp. 163</w:t>
      </w:r>
      <w:r w:rsidR="00EA35CA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181. </w:t>
      </w:r>
      <w:r>
        <w:fldChar w:fldCharType="begin"/>
      </w:r>
      <w:r w:rsidRPr="00AD76AE">
        <w:rPr>
          <w:lang w:val="en-US"/>
        </w:rPr>
        <w:instrText>HYPERLINK "https://doi.org/10.37482/issn2221-2698.2020.41.163"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https://doi.org/10.37482/issn2221-2698.2020.41.163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"https://elibrary.ru/pmahys"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https://elibrary.ru/pmahys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7DC2B4F5" w14:textId="1D2ADCDE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 xml:space="preserve">Tovma, N., Akhmetova, Z., </w:t>
      </w:r>
      <w:proofErr w:type="spellStart"/>
      <w:r w:rsidRPr="00B20950">
        <w:rPr>
          <w:sz w:val="28"/>
          <w:szCs w:val="32"/>
          <w:lang w:val="en-US"/>
        </w:rPr>
        <w:t>Tulebayeva</w:t>
      </w:r>
      <w:proofErr w:type="spellEnd"/>
      <w:r w:rsidRPr="00B20950">
        <w:rPr>
          <w:sz w:val="28"/>
          <w:szCs w:val="32"/>
          <w:lang w:val="en-US"/>
        </w:rPr>
        <w:t>, N., Malikova, R., Abdikul, S.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2023) Indicators for assessing the development potential of monotowns of the republic of Kazakhstan. </w:t>
      </w:r>
      <w:r w:rsidRPr="00B20950">
        <w:rPr>
          <w:i/>
          <w:iCs/>
          <w:sz w:val="28"/>
          <w:szCs w:val="32"/>
          <w:lang w:val="en-US"/>
        </w:rPr>
        <w:t xml:space="preserve">3S Web of </w:t>
      </w:r>
      <w:proofErr w:type="gramStart"/>
      <w:r w:rsidRPr="00B20950">
        <w:rPr>
          <w:i/>
          <w:iCs/>
          <w:sz w:val="28"/>
          <w:szCs w:val="32"/>
          <w:lang w:val="en-US"/>
        </w:rPr>
        <w:t>Conferences :</w:t>
      </w:r>
      <w:proofErr w:type="gramEnd"/>
      <w:r w:rsidRPr="00B20950">
        <w:rPr>
          <w:i/>
          <w:iCs/>
          <w:sz w:val="28"/>
          <w:szCs w:val="32"/>
          <w:lang w:val="en-US"/>
        </w:rPr>
        <w:t xml:space="preserve"> XVI International Scientific and Practical Conference “State and Prospects for the Development of Agribusiness </w:t>
      </w:r>
      <w:r w:rsidR="007D0294">
        <w:rPr>
          <w:i/>
          <w:iCs/>
          <w:sz w:val="28"/>
          <w:szCs w:val="32"/>
          <w:lang w:val="en-US"/>
        </w:rPr>
        <w:t xml:space="preserve">– </w:t>
      </w:r>
      <w:r w:rsidRPr="00B20950">
        <w:rPr>
          <w:i/>
          <w:iCs/>
          <w:sz w:val="28"/>
          <w:szCs w:val="32"/>
          <w:lang w:val="en-US"/>
        </w:rPr>
        <w:t>INTERAGROMASH 2023”, Rostov-on-Don, Russia, 01–05 march 2023. 413</w:t>
      </w:r>
      <w:r w:rsidRPr="00B20950">
        <w:rPr>
          <w:sz w:val="28"/>
          <w:szCs w:val="32"/>
          <w:lang w:val="en-US"/>
        </w:rPr>
        <w:t xml:space="preserve">. Rostov-on-Don, Russia: EDP Sciences, 2023. P. 05016. </w:t>
      </w:r>
      <w:r>
        <w:fldChar w:fldCharType="begin"/>
      </w:r>
      <w:r w:rsidRPr="00AD76AE">
        <w:rPr>
          <w:lang w:val="en-US"/>
        </w:rPr>
        <w:instrText>HYPERLINK "https://doi.org/10.1051/e3sconf/202341305016"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https://doi.org/10.1051/e3sconf/202341305016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"https://elibrary.ru/zhxhkx"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https://elibrary.ru/zhxhkx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</w:p>
    <w:p w14:paraId="31A50EFE" w14:textId="308E7E23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Tan, Z. L., Lu, M., Dong, W., Dong, Y.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2025) Resilience Measurement and Evolution Characteristics of Resource-Based Cities in Heilongjiang Province Based on Adaptive Cycle Framework from 2010 to 2019. </w:t>
      </w:r>
      <w:r w:rsidRPr="00B20950">
        <w:rPr>
          <w:i/>
          <w:iCs/>
          <w:sz w:val="28"/>
          <w:szCs w:val="32"/>
          <w:lang w:val="en-US"/>
        </w:rPr>
        <w:t>Landscape Architecture</w:t>
      </w:r>
      <w:r w:rsidRPr="00B20950">
        <w:rPr>
          <w:sz w:val="28"/>
          <w:szCs w:val="32"/>
          <w:lang w:val="en-US"/>
        </w:rPr>
        <w:t>, 32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>10), pp. 61</w:t>
      </w:r>
      <w:r w:rsidR="00EA35CA" w:rsidRPr="00C60EF0">
        <w:rPr>
          <w:sz w:val="28"/>
          <w:szCs w:val="32"/>
          <w:lang w:val="en-US"/>
        </w:rPr>
        <w:t>–</w:t>
      </w:r>
      <w:r w:rsidRPr="00B20950">
        <w:rPr>
          <w:sz w:val="28"/>
          <w:szCs w:val="32"/>
          <w:lang w:val="en-US"/>
        </w:rPr>
        <w:t xml:space="preserve">70. </w:t>
      </w:r>
      <w:r>
        <w:fldChar w:fldCharType="begin"/>
      </w:r>
      <w:r w:rsidRPr="00AD76AE">
        <w:rPr>
          <w:lang w:val="en-US"/>
        </w:rPr>
        <w:instrText>HYPERLINK "https://doi.org/10.3724/j.fjyl.la20250118"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https://doi.org/10.3724/j.fjyl.la20250118</w:t>
      </w:r>
      <w:r>
        <w:fldChar w:fldCharType="end"/>
      </w:r>
      <w:r w:rsidRPr="00B20950">
        <w:rPr>
          <w:sz w:val="28"/>
          <w:szCs w:val="32"/>
          <w:lang w:val="en-US"/>
        </w:rPr>
        <w:t xml:space="preserve">. </w:t>
      </w:r>
      <w:r>
        <w:fldChar w:fldCharType="begin"/>
      </w:r>
      <w:r w:rsidRPr="00AD76AE">
        <w:rPr>
          <w:lang w:val="en-US"/>
        </w:rPr>
        <w:instrText>HYPERLINK "https://elibrary.ru/tbgdgo"</w:instrText>
      </w:r>
      <w:r>
        <w:fldChar w:fldCharType="separate"/>
      </w:r>
      <w:r w:rsidRPr="00B20950">
        <w:rPr>
          <w:rStyle w:val="a7"/>
          <w:sz w:val="28"/>
          <w:szCs w:val="32"/>
          <w:lang w:val="en-US"/>
        </w:rPr>
        <w:t>https://elibrary.ru/tbgdgo</w:t>
      </w:r>
      <w:r>
        <w:fldChar w:fldCharType="end"/>
      </w:r>
      <w:r w:rsidRPr="00B20950">
        <w:rPr>
          <w:sz w:val="28"/>
          <w:szCs w:val="32"/>
          <w:lang w:val="en-US"/>
        </w:rPr>
        <w:t>.</w:t>
      </w:r>
    </w:p>
    <w:p w14:paraId="243D0702" w14:textId="648DF8EE" w:rsidR="00B2095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 xml:space="preserve">Luna-Rivera, J. M., Rufo, J., Rabadan, J. </w:t>
      </w:r>
      <w:proofErr w:type="spellStart"/>
      <w:r w:rsidRPr="00B20950">
        <w:rPr>
          <w:sz w:val="28"/>
          <w:szCs w:val="32"/>
          <w:lang w:val="en-US"/>
        </w:rPr>
        <w:t>Uerra</w:t>
      </w:r>
      <w:proofErr w:type="spellEnd"/>
      <w:r w:rsidRPr="00B20950">
        <w:rPr>
          <w:sz w:val="28"/>
          <w:szCs w:val="32"/>
          <w:lang w:val="en-US"/>
        </w:rPr>
        <w:t>, V., Perez-</w:t>
      </w:r>
      <w:proofErr w:type="spellStart"/>
      <w:r w:rsidRPr="00B20950">
        <w:rPr>
          <w:sz w:val="28"/>
          <w:szCs w:val="32"/>
          <w:lang w:val="en-US"/>
        </w:rPr>
        <w:t>jimenez</w:t>
      </w:r>
      <w:proofErr w:type="spellEnd"/>
      <w:r w:rsidRPr="00B20950">
        <w:rPr>
          <w:sz w:val="28"/>
          <w:szCs w:val="32"/>
          <w:lang w:val="en-US"/>
        </w:rPr>
        <w:t>, R.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2025) Urban genome: a new paradigm for sustainable cities. </w:t>
      </w:r>
      <w:r w:rsidRPr="00B20950">
        <w:rPr>
          <w:i/>
          <w:iCs/>
          <w:sz w:val="28"/>
          <w:szCs w:val="32"/>
          <w:lang w:val="en-US"/>
        </w:rPr>
        <w:t>NPJ Urban Sustain</w:t>
      </w:r>
      <w:r w:rsidRPr="00B20950">
        <w:rPr>
          <w:sz w:val="28"/>
          <w:szCs w:val="32"/>
          <w:lang w:val="en-US"/>
        </w:rPr>
        <w:t>, 5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1), p. 77. https://doi.org/10.1038/s42949-025-00265-1. </w:t>
      </w:r>
      <w:hyperlink r:id="rId15" w:history="1">
        <w:r w:rsidRPr="00B20950">
          <w:rPr>
            <w:rStyle w:val="a7"/>
            <w:sz w:val="28"/>
            <w:szCs w:val="32"/>
            <w:lang w:val="en-US"/>
          </w:rPr>
          <w:t>https://elibrary.ru/uwmava</w:t>
        </w:r>
      </w:hyperlink>
      <w:r w:rsidRPr="00B20950">
        <w:rPr>
          <w:sz w:val="28"/>
          <w:szCs w:val="32"/>
          <w:lang w:val="en-US"/>
        </w:rPr>
        <w:t>.</w:t>
      </w:r>
    </w:p>
    <w:p w14:paraId="0BF03097" w14:textId="7D416C39" w:rsidR="00400860" w:rsidRPr="00B20950" w:rsidRDefault="00B20950" w:rsidP="00C60EF0">
      <w:pPr>
        <w:pStyle w:val="ds-markdown-paragraph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32"/>
          <w:lang w:val="en-US"/>
        </w:rPr>
      </w:pPr>
      <w:r w:rsidRPr="00B20950">
        <w:rPr>
          <w:sz w:val="28"/>
          <w:szCs w:val="32"/>
          <w:lang w:val="en-US"/>
        </w:rPr>
        <w:t>Zhang, J., Gui, Y., He, P. et al.</w:t>
      </w:r>
      <w:r w:rsidR="00E321E5">
        <w:rPr>
          <w:sz w:val="28"/>
          <w:szCs w:val="32"/>
          <w:lang w:val="en-US"/>
        </w:rPr>
        <w:t xml:space="preserve"> (</w:t>
      </w:r>
      <w:r w:rsidRPr="00B20950">
        <w:rPr>
          <w:sz w:val="28"/>
          <w:szCs w:val="32"/>
          <w:lang w:val="en-US"/>
        </w:rPr>
        <w:t xml:space="preserve">2026) Sustainable development pathways of resource-based cities: the case of Xuzhou, China. </w:t>
      </w:r>
      <w:r w:rsidRPr="00B20950">
        <w:rPr>
          <w:i/>
          <w:iCs/>
          <w:sz w:val="28"/>
          <w:szCs w:val="32"/>
          <w:lang w:val="en-US"/>
        </w:rPr>
        <w:t xml:space="preserve">Environment, development and </w:t>
      </w:r>
      <w:r w:rsidRPr="00B20950">
        <w:rPr>
          <w:i/>
          <w:iCs/>
          <w:sz w:val="28"/>
          <w:szCs w:val="32"/>
          <w:lang w:val="en-US"/>
        </w:rPr>
        <w:lastRenderedPageBreak/>
        <w:t>sustainability</w:t>
      </w:r>
      <w:r w:rsidRPr="00B20950">
        <w:rPr>
          <w:sz w:val="28"/>
          <w:szCs w:val="32"/>
          <w:lang w:val="en-US"/>
        </w:rPr>
        <w:t xml:space="preserve">. </w:t>
      </w:r>
      <w:hyperlink r:id="rId16" w:history="1">
        <w:r w:rsidRPr="00B20950">
          <w:rPr>
            <w:rStyle w:val="a7"/>
            <w:sz w:val="28"/>
            <w:szCs w:val="32"/>
            <w:lang w:val="en-US"/>
          </w:rPr>
          <w:t>https://doi.org/10.1007/s10668-025-07298-7</w:t>
        </w:r>
      </w:hyperlink>
      <w:r w:rsidRPr="00B20950">
        <w:rPr>
          <w:sz w:val="28"/>
          <w:szCs w:val="32"/>
          <w:lang w:val="en-US"/>
        </w:rPr>
        <w:t xml:space="preserve">. </w:t>
      </w:r>
      <w:hyperlink r:id="rId17" w:history="1">
        <w:r w:rsidRPr="00B20950">
          <w:rPr>
            <w:rStyle w:val="a7"/>
            <w:sz w:val="28"/>
            <w:szCs w:val="32"/>
            <w:lang w:val="en-US"/>
          </w:rPr>
          <w:t>https://elibrary.ru/hrzskf</w:t>
        </w:r>
      </w:hyperlink>
      <w:r w:rsidRPr="00B20950">
        <w:rPr>
          <w:sz w:val="28"/>
          <w:szCs w:val="32"/>
          <w:lang w:val="en-US"/>
        </w:rPr>
        <w:t>.</w:t>
      </w:r>
    </w:p>
    <w:sectPr w:rsidR="00400860" w:rsidRPr="00B20950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D145" w14:textId="77777777" w:rsidR="003E01C2" w:rsidRDefault="003E01C2" w:rsidP="008A77DD">
      <w:pPr>
        <w:spacing w:after="0" w:line="240" w:lineRule="auto"/>
      </w:pPr>
      <w:r>
        <w:separator/>
      </w:r>
    </w:p>
  </w:endnote>
  <w:endnote w:type="continuationSeparator" w:id="0">
    <w:p w14:paraId="103BCD0E" w14:textId="77777777" w:rsidR="003E01C2" w:rsidRDefault="003E01C2" w:rsidP="008A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370276"/>
      <w:docPartObj>
        <w:docPartGallery w:val="Page Numbers (Bottom of Page)"/>
        <w:docPartUnique/>
      </w:docPartObj>
    </w:sdtPr>
    <w:sdtEndPr/>
    <w:sdtContent>
      <w:p w14:paraId="2A841595" w14:textId="66757216" w:rsidR="00E321E5" w:rsidRDefault="00E321E5" w:rsidP="00596D52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CA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BF69" w14:textId="77777777" w:rsidR="003E01C2" w:rsidRDefault="003E01C2" w:rsidP="008A77DD">
      <w:pPr>
        <w:spacing w:after="0" w:line="240" w:lineRule="auto"/>
      </w:pPr>
      <w:r>
        <w:separator/>
      </w:r>
    </w:p>
  </w:footnote>
  <w:footnote w:type="continuationSeparator" w:id="0">
    <w:p w14:paraId="3666DAFC" w14:textId="77777777" w:rsidR="003E01C2" w:rsidRDefault="003E01C2" w:rsidP="008A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3C1"/>
    <w:multiLevelType w:val="multilevel"/>
    <w:tmpl w:val="D41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38DF"/>
    <w:multiLevelType w:val="hybridMultilevel"/>
    <w:tmpl w:val="DD6273B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56A3FBB"/>
    <w:multiLevelType w:val="hybridMultilevel"/>
    <w:tmpl w:val="DD6273B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59B1514"/>
    <w:multiLevelType w:val="hybridMultilevel"/>
    <w:tmpl w:val="E6E0D8C4"/>
    <w:lvl w:ilvl="0" w:tplc="6520E56E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A281B84"/>
    <w:multiLevelType w:val="hybridMultilevel"/>
    <w:tmpl w:val="7818C2F4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5DA"/>
    <w:multiLevelType w:val="hybridMultilevel"/>
    <w:tmpl w:val="52B2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A3F3A"/>
    <w:multiLevelType w:val="multilevel"/>
    <w:tmpl w:val="9EE8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15B39"/>
    <w:multiLevelType w:val="hybridMultilevel"/>
    <w:tmpl w:val="E0803A7C"/>
    <w:lvl w:ilvl="0" w:tplc="F4562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870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4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4F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2C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A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6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06E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8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6A1F07"/>
    <w:multiLevelType w:val="multilevel"/>
    <w:tmpl w:val="0CD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30DE7"/>
    <w:multiLevelType w:val="multilevel"/>
    <w:tmpl w:val="3382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B229C"/>
    <w:multiLevelType w:val="multilevel"/>
    <w:tmpl w:val="019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B3ABF"/>
    <w:multiLevelType w:val="hybridMultilevel"/>
    <w:tmpl w:val="AA82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9F5"/>
    <w:multiLevelType w:val="hybridMultilevel"/>
    <w:tmpl w:val="DF345418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C044BC">
      <w:start w:val="8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3380"/>
    <w:multiLevelType w:val="hybridMultilevel"/>
    <w:tmpl w:val="41D28AE6"/>
    <w:lvl w:ilvl="0" w:tplc="04190011">
      <w:start w:val="1"/>
      <w:numFmt w:val="decimal"/>
      <w:lvlText w:val="%1)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24427F3"/>
    <w:multiLevelType w:val="hybridMultilevel"/>
    <w:tmpl w:val="9C3631FA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873C5"/>
    <w:multiLevelType w:val="multilevel"/>
    <w:tmpl w:val="3DF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B1F74"/>
    <w:multiLevelType w:val="hybridMultilevel"/>
    <w:tmpl w:val="A0882628"/>
    <w:lvl w:ilvl="0" w:tplc="8FECD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481E4C"/>
    <w:multiLevelType w:val="multilevel"/>
    <w:tmpl w:val="E0BC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B00AA"/>
    <w:multiLevelType w:val="hybridMultilevel"/>
    <w:tmpl w:val="3D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7BA6"/>
    <w:multiLevelType w:val="multilevel"/>
    <w:tmpl w:val="BC7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A26C4"/>
    <w:multiLevelType w:val="multilevel"/>
    <w:tmpl w:val="BB4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DD2"/>
    <w:multiLevelType w:val="hybridMultilevel"/>
    <w:tmpl w:val="5F1E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F0CCE"/>
    <w:multiLevelType w:val="multilevel"/>
    <w:tmpl w:val="CF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A020A"/>
    <w:multiLevelType w:val="hybridMultilevel"/>
    <w:tmpl w:val="ACD4D8E6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15C79"/>
    <w:multiLevelType w:val="multilevel"/>
    <w:tmpl w:val="CCF4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81C93"/>
    <w:multiLevelType w:val="multilevel"/>
    <w:tmpl w:val="C49E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265EC"/>
    <w:multiLevelType w:val="multilevel"/>
    <w:tmpl w:val="2FC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B04AB"/>
    <w:multiLevelType w:val="hybridMultilevel"/>
    <w:tmpl w:val="6E1EE8C2"/>
    <w:lvl w:ilvl="0" w:tplc="FEF6E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43E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0C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74D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12B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26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8CC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A3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CF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75703A"/>
    <w:multiLevelType w:val="multilevel"/>
    <w:tmpl w:val="55FE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7C4968"/>
    <w:multiLevelType w:val="multilevel"/>
    <w:tmpl w:val="A5D0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55B73"/>
    <w:multiLevelType w:val="hybridMultilevel"/>
    <w:tmpl w:val="9EB6537C"/>
    <w:lvl w:ilvl="0" w:tplc="201659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43BED"/>
    <w:multiLevelType w:val="multilevel"/>
    <w:tmpl w:val="88B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18321">
    <w:abstractNumId w:val="22"/>
  </w:num>
  <w:num w:numId="2" w16cid:durableId="818886297">
    <w:abstractNumId w:val="20"/>
  </w:num>
  <w:num w:numId="3" w16cid:durableId="716123989">
    <w:abstractNumId w:val="31"/>
  </w:num>
  <w:num w:numId="4" w16cid:durableId="1129859830">
    <w:abstractNumId w:val="10"/>
  </w:num>
  <w:num w:numId="5" w16cid:durableId="1351225541">
    <w:abstractNumId w:val="8"/>
  </w:num>
  <w:num w:numId="6" w16cid:durableId="1595356541">
    <w:abstractNumId w:val="24"/>
  </w:num>
  <w:num w:numId="7" w16cid:durableId="1632595405">
    <w:abstractNumId w:val="0"/>
  </w:num>
  <w:num w:numId="8" w16cid:durableId="1490437181">
    <w:abstractNumId w:val="9"/>
  </w:num>
  <w:num w:numId="9" w16cid:durableId="43144676">
    <w:abstractNumId w:val="14"/>
  </w:num>
  <w:num w:numId="10" w16cid:durableId="2054228979">
    <w:abstractNumId w:val="4"/>
  </w:num>
  <w:num w:numId="11" w16cid:durableId="939265396">
    <w:abstractNumId w:val="12"/>
  </w:num>
  <w:num w:numId="12" w16cid:durableId="1170369331">
    <w:abstractNumId w:val="18"/>
  </w:num>
  <w:num w:numId="13" w16cid:durableId="1945067666">
    <w:abstractNumId w:val="16"/>
  </w:num>
  <w:num w:numId="14" w16cid:durableId="1714696753">
    <w:abstractNumId w:val="5"/>
  </w:num>
  <w:num w:numId="15" w16cid:durableId="752893909">
    <w:abstractNumId w:val="13"/>
  </w:num>
  <w:num w:numId="16" w16cid:durableId="1398476867">
    <w:abstractNumId w:val="23"/>
  </w:num>
  <w:num w:numId="17" w16cid:durableId="1583370106">
    <w:abstractNumId w:val="26"/>
  </w:num>
  <w:num w:numId="18" w16cid:durableId="1049719826">
    <w:abstractNumId w:val="30"/>
  </w:num>
  <w:num w:numId="19" w16cid:durableId="1470628433">
    <w:abstractNumId w:val="19"/>
  </w:num>
  <w:num w:numId="20" w16cid:durableId="290328127">
    <w:abstractNumId w:val="29"/>
  </w:num>
  <w:num w:numId="21" w16cid:durableId="1438406794">
    <w:abstractNumId w:val="3"/>
  </w:num>
  <w:num w:numId="22" w16cid:durableId="1739278040">
    <w:abstractNumId w:val="21"/>
  </w:num>
  <w:num w:numId="23" w16cid:durableId="1755711369">
    <w:abstractNumId w:val="11"/>
  </w:num>
  <w:num w:numId="24" w16cid:durableId="549268840">
    <w:abstractNumId w:val="1"/>
  </w:num>
  <w:num w:numId="25" w16cid:durableId="1035159880">
    <w:abstractNumId w:val="28"/>
  </w:num>
  <w:num w:numId="26" w16cid:durableId="1889412915">
    <w:abstractNumId w:val="6"/>
  </w:num>
  <w:num w:numId="27" w16cid:durableId="1383290489">
    <w:abstractNumId w:val="7"/>
  </w:num>
  <w:num w:numId="28" w16cid:durableId="1575428531">
    <w:abstractNumId w:val="27"/>
  </w:num>
  <w:num w:numId="29" w16cid:durableId="1309241870">
    <w:abstractNumId w:val="25"/>
  </w:num>
  <w:num w:numId="30" w16cid:durableId="1514420237">
    <w:abstractNumId w:val="15"/>
  </w:num>
  <w:num w:numId="31" w16cid:durableId="1809516585">
    <w:abstractNumId w:val="2"/>
  </w:num>
  <w:num w:numId="32" w16cid:durableId="1382754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08"/>
    <w:rsid w:val="00003CD8"/>
    <w:rsid w:val="00012F69"/>
    <w:rsid w:val="000307C1"/>
    <w:rsid w:val="00032967"/>
    <w:rsid w:val="00032EE5"/>
    <w:rsid w:val="00033C8D"/>
    <w:rsid w:val="000520F3"/>
    <w:rsid w:val="00065B6E"/>
    <w:rsid w:val="000733F6"/>
    <w:rsid w:val="00090C19"/>
    <w:rsid w:val="000A181D"/>
    <w:rsid w:val="000B0AAA"/>
    <w:rsid w:val="000B4666"/>
    <w:rsid w:val="000C063B"/>
    <w:rsid w:val="000C3A97"/>
    <w:rsid w:val="000C50F7"/>
    <w:rsid w:val="000D7EC4"/>
    <w:rsid w:val="000E2E08"/>
    <w:rsid w:val="000E4E0B"/>
    <w:rsid w:val="000F2D18"/>
    <w:rsid w:val="00107470"/>
    <w:rsid w:val="00110DE6"/>
    <w:rsid w:val="00125641"/>
    <w:rsid w:val="00135AD4"/>
    <w:rsid w:val="00156B23"/>
    <w:rsid w:val="0016609F"/>
    <w:rsid w:val="001827C8"/>
    <w:rsid w:val="00193B9F"/>
    <w:rsid w:val="00193E23"/>
    <w:rsid w:val="0019403C"/>
    <w:rsid w:val="00194419"/>
    <w:rsid w:val="001A14C2"/>
    <w:rsid w:val="001A324B"/>
    <w:rsid w:val="001A4F08"/>
    <w:rsid w:val="001A64D2"/>
    <w:rsid w:val="001B2AD6"/>
    <w:rsid w:val="001B5043"/>
    <w:rsid w:val="001C730C"/>
    <w:rsid w:val="001D5E29"/>
    <w:rsid w:val="001E1B3D"/>
    <w:rsid w:val="001E4FDF"/>
    <w:rsid w:val="00206592"/>
    <w:rsid w:val="00212F06"/>
    <w:rsid w:val="00214762"/>
    <w:rsid w:val="002201EA"/>
    <w:rsid w:val="00220C1F"/>
    <w:rsid w:val="002228EC"/>
    <w:rsid w:val="002255F3"/>
    <w:rsid w:val="00250F5F"/>
    <w:rsid w:val="0027130D"/>
    <w:rsid w:val="00280054"/>
    <w:rsid w:val="002863C2"/>
    <w:rsid w:val="002C36DC"/>
    <w:rsid w:val="002F1912"/>
    <w:rsid w:val="002F2BE8"/>
    <w:rsid w:val="002F5265"/>
    <w:rsid w:val="002F5F7E"/>
    <w:rsid w:val="00303D38"/>
    <w:rsid w:val="00303E1D"/>
    <w:rsid w:val="00303E2F"/>
    <w:rsid w:val="0031519C"/>
    <w:rsid w:val="00342830"/>
    <w:rsid w:val="00345104"/>
    <w:rsid w:val="00345A59"/>
    <w:rsid w:val="00352003"/>
    <w:rsid w:val="0035790B"/>
    <w:rsid w:val="0036149D"/>
    <w:rsid w:val="003742EB"/>
    <w:rsid w:val="003953A2"/>
    <w:rsid w:val="003A5CF5"/>
    <w:rsid w:val="003C0C0A"/>
    <w:rsid w:val="003D1933"/>
    <w:rsid w:val="003D40E4"/>
    <w:rsid w:val="003D6BD1"/>
    <w:rsid w:val="003E01C2"/>
    <w:rsid w:val="003E620A"/>
    <w:rsid w:val="00400860"/>
    <w:rsid w:val="00403A3A"/>
    <w:rsid w:val="004055D2"/>
    <w:rsid w:val="004206F7"/>
    <w:rsid w:val="0042619A"/>
    <w:rsid w:val="0043782A"/>
    <w:rsid w:val="00442CB4"/>
    <w:rsid w:val="00442D63"/>
    <w:rsid w:val="004448CB"/>
    <w:rsid w:val="00464AE0"/>
    <w:rsid w:val="00465A71"/>
    <w:rsid w:val="0047085C"/>
    <w:rsid w:val="00471FCA"/>
    <w:rsid w:val="0047310D"/>
    <w:rsid w:val="00474C43"/>
    <w:rsid w:val="00492238"/>
    <w:rsid w:val="004A55C3"/>
    <w:rsid w:val="004B1524"/>
    <w:rsid w:val="004B463D"/>
    <w:rsid w:val="004B5FBD"/>
    <w:rsid w:val="004B6D2F"/>
    <w:rsid w:val="004D7D38"/>
    <w:rsid w:val="004F4D3A"/>
    <w:rsid w:val="004F5B4C"/>
    <w:rsid w:val="004F79ED"/>
    <w:rsid w:val="00500BBA"/>
    <w:rsid w:val="00523CF9"/>
    <w:rsid w:val="005506A3"/>
    <w:rsid w:val="005543BB"/>
    <w:rsid w:val="00557103"/>
    <w:rsid w:val="00557D05"/>
    <w:rsid w:val="00561271"/>
    <w:rsid w:val="005660EA"/>
    <w:rsid w:val="00576274"/>
    <w:rsid w:val="00581303"/>
    <w:rsid w:val="005868D6"/>
    <w:rsid w:val="00590C9D"/>
    <w:rsid w:val="00596328"/>
    <w:rsid w:val="00596D52"/>
    <w:rsid w:val="005A5CFB"/>
    <w:rsid w:val="005B33EF"/>
    <w:rsid w:val="005B59BD"/>
    <w:rsid w:val="005D576D"/>
    <w:rsid w:val="005D6080"/>
    <w:rsid w:val="005D68D8"/>
    <w:rsid w:val="005F0AE5"/>
    <w:rsid w:val="005F72DD"/>
    <w:rsid w:val="00603006"/>
    <w:rsid w:val="006068DB"/>
    <w:rsid w:val="00610F80"/>
    <w:rsid w:val="006201E5"/>
    <w:rsid w:val="00631059"/>
    <w:rsid w:val="006366B7"/>
    <w:rsid w:val="00640A82"/>
    <w:rsid w:val="00647E05"/>
    <w:rsid w:val="0065085B"/>
    <w:rsid w:val="00655216"/>
    <w:rsid w:val="00657259"/>
    <w:rsid w:val="00663942"/>
    <w:rsid w:val="00663AB4"/>
    <w:rsid w:val="00665199"/>
    <w:rsid w:val="006A0967"/>
    <w:rsid w:val="006B4509"/>
    <w:rsid w:val="006C1E06"/>
    <w:rsid w:val="006D4983"/>
    <w:rsid w:val="006E3CC7"/>
    <w:rsid w:val="006F15D0"/>
    <w:rsid w:val="006F6550"/>
    <w:rsid w:val="00731DF4"/>
    <w:rsid w:val="007335D1"/>
    <w:rsid w:val="00735C43"/>
    <w:rsid w:val="00745C37"/>
    <w:rsid w:val="00795E80"/>
    <w:rsid w:val="007A25B5"/>
    <w:rsid w:val="007A78B7"/>
    <w:rsid w:val="007C5BD7"/>
    <w:rsid w:val="007D0294"/>
    <w:rsid w:val="007E5494"/>
    <w:rsid w:val="00810EDC"/>
    <w:rsid w:val="00817B2B"/>
    <w:rsid w:val="00824E9D"/>
    <w:rsid w:val="00825813"/>
    <w:rsid w:val="008421CF"/>
    <w:rsid w:val="008528F5"/>
    <w:rsid w:val="008537B9"/>
    <w:rsid w:val="00871A1E"/>
    <w:rsid w:val="00874919"/>
    <w:rsid w:val="00882779"/>
    <w:rsid w:val="00885681"/>
    <w:rsid w:val="008872CB"/>
    <w:rsid w:val="008906AA"/>
    <w:rsid w:val="00891054"/>
    <w:rsid w:val="00895E88"/>
    <w:rsid w:val="008A77DD"/>
    <w:rsid w:val="008B4492"/>
    <w:rsid w:val="008C41C1"/>
    <w:rsid w:val="008C57DC"/>
    <w:rsid w:val="008D2F92"/>
    <w:rsid w:val="008E36B4"/>
    <w:rsid w:val="008F2AFB"/>
    <w:rsid w:val="0091648F"/>
    <w:rsid w:val="00916C9E"/>
    <w:rsid w:val="00921C69"/>
    <w:rsid w:val="0092600B"/>
    <w:rsid w:val="00933DBA"/>
    <w:rsid w:val="009352F9"/>
    <w:rsid w:val="0094088B"/>
    <w:rsid w:val="00940F38"/>
    <w:rsid w:val="009656C0"/>
    <w:rsid w:val="00967D3E"/>
    <w:rsid w:val="009839FB"/>
    <w:rsid w:val="00984CA2"/>
    <w:rsid w:val="009918DE"/>
    <w:rsid w:val="009924F9"/>
    <w:rsid w:val="009A1DD8"/>
    <w:rsid w:val="009A26D2"/>
    <w:rsid w:val="009A3B1F"/>
    <w:rsid w:val="009A4031"/>
    <w:rsid w:val="009A57F1"/>
    <w:rsid w:val="009A5F48"/>
    <w:rsid w:val="009A77D4"/>
    <w:rsid w:val="009B1BCF"/>
    <w:rsid w:val="009C19F0"/>
    <w:rsid w:val="009C1C66"/>
    <w:rsid w:val="009C47A5"/>
    <w:rsid w:val="009C6BFC"/>
    <w:rsid w:val="009F5642"/>
    <w:rsid w:val="009F6D69"/>
    <w:rsid w:val="00A079B0"/>
    <w:rsid w:val="00A12BDA"/>
    <w:rsid w:val="00A201F1"/>
    <w:rsid w:val="00A24A13"/>
    <w:rsid w:val="00A2529E"/>
    <w:rsid w:val="00A27DB0"/>
    <w:rsid w:val="00A3404F"/>
    <w:rsid w:val="00A41E0D"/>
    <w:rsid w:val="00A5689C"/>
    <w:rsid w:val="00A56C6E"/>
    <w:rsid w:val="00A60058"/>
    <w:rsid w:val="00A64F8B"/>
    <w:rsid w:val="00A73204"/>
    <w:rsid w:val="00A757AA"/>
    <w:rsid w:val="00A76FBB"/>
    <w:rsid w:val="00A83237"/>
    <w:rsid w:val="00A870E8"/>
    <w:rsid w:val="00AA6BAA"/>
    <w:rsid w:val="00AA7612"/>
    <w:rsid w:val="00AC1060"/>
    <w:rsid w:val="00AC25B9"/>
    <w:rsid w:val="00AD0911"/>
    <w:rsid w:val="00AD2F58"/>
    <w:rsid w:val="00AD3FB6"/>
    <w:rsid w:val="00AD5E81"/>
    <w:rsid w:val="00AD76AE"/>
    <w:rsid w:val="00AE046E"/>
    <w:rsid w:val="00AE2216"/>
    <w:rsid w:val="00AE2CF4"/>
    <w:rsid w:val="00AE4F5E"/>
    <w:rsid w:val="00AF5D7A"/>
    <w:rsid w:val="00AF7A64"/>
    <w:rsid w:val="00B0340E"/>
    <w:rsid w:val="00B20950"/>
    <w:rsid w:val="00B27476"/>
    <w:rsid w:val="00B34FB1"/>
    <w:rsid w:val="00B37C62"/>
    <w:rsid w:val="00B536B2"/>
    <w:rsid w:val="00B614A5"/>
    <w:rsid w:val="00B625F6"/>
    <w:rsid w:val="00B628DC"/>
    <w:rsid w:val="00B839C9"/>
    <w:rsid w:val="00B85111"/>
    <w:rsid w:val="00B8544D"/>
    <w:rsid w:val="00B85DC4"/>
    <w:rsid w:val="00B91C0F"/>
    <w:rsid w:val="00B93BD4"/>
    <w:rsid w:val="00B9644F"/>
    <w:rsid w:val="00B97043"/>
    <w:rsid w:val="00B97F3C"/>
    <w:rsid w:val="00BB42A7"/>
    <w:rsid w:val="00BC6659"/>
    <w:rsid w:val="00BD1607"/>
    <w:rsid w:val="00BD1884"/>
    <w:rsid w:val="00BD4C07"/>
    <w:rsid w:val="00C032B5"/>
    <w:rsid w:val="00C05799"/>
    <w:rsid w:val="00C221BF"/>
    <w:rsid w:val="00C2309C"/>
    <w:rsid w:val="00C41A26"/>
    <w:rsid w:val="00C44889"/>
    <w:rsid w:val="00C50A11"/>
    <w:rsid w:val="00C607A9"/>
    <w:rsid w:val="00C60AB0"/>
    <w:rsid w:val="00C60EF0"/>
    <w:rsid w:val="00C87DDC"/>
    <w:rsid w:val="00CA301C"/>
    <w:rsid w:val="00CC28BC"/>
    <w:rsid w:val="00CC4AB9"/>
    <w:rsid w:val="00CD2CB0"/>
    <w:rsid w:val="00CF50D8"/>
    <w:rsid w:val="00CF68F0"/>
    <w:rsid w:val="00D024A9"/>
    <w:rsid w:val="00D04184"/>
    <w:rsid w:val="00D26662"/>
    <w:rsid w:val="00D3331E"/>
    <w:rsid w:val="00D33F16"/>
    <w:rsid w:val="00D36680"/>
    <w:rsid w:val="00D36CF3"/>
    <w:rsid w:val="00D465DA"/>
    <w:rsid w:val="00D55BC0"/>
    <w:rsid w:val="00D66F3C"/>
    <w:rsid w:val="00D96CAA"/>
    <w:rsid w:val="00DA410C"/>
    <w:rsid w:val="00DB3F8D"/>
    <w:rsid w:val="00DB7E66"/>
    <w:rsid w:val="00DC07F3"/>
    <w:rsid w:val="00DD2D9E"/>
    <w:rsid w:val="00DE1FCC"/>
    <w:rsid w:val="00DE3B7B"/>
    <w:rsid w:val="00DE4B34"/>
    <w:rsid w:val="00E06994"/>
    <w:rsid w:val="00E21B42"/>
    <w:rsid w:val="00E3175A"/>
    <w:rsid w:val="00E321E5"/>
    <w:rsid w:val="00E36119"/>
    <w:rsid w:val="00E37C66"/>
    <w:rsid w:val="00E730DB"/>
    <w:rsid w:val="00E83C2F"/>
    <w:rsid w:val="00E9545F"/>
    <w:rsid w:val="00EA35CA"/>
    <w:rsid w:val="00EA52E7"/>
    <w:rsid w:val="00EB0E42"/>
    <w:rsid w:val="00EC2723"/>
    <w:rsid w:val="00EC38AC"/>
    <w:rsid w:val="00EC4E5E"/>
    <w:rsid w:val="00EE38DE"/>
    <w:rsid w:val="00EF60B7"/>
    <w:rsid w:val="00F03AA7"/>
    <w:rsid w:val="00F0651B"/>
    <w:rsid w:val="00F07114"/>
    <w:rsid w:val="00F11A81"/>
    <w:rsid w:val="00F25BE4"/>
    <w:rsid w:val="00F301CB"/>
    <w:rsid w:val="00F32C88"/>
    <w:rsid w:val="00F34341"/>
    <w:rsid w:val="00F34949"/>
    <w:rsid w:val="00F372BA"/>
    <w:rsid w:val="00F422BD"/>
    <w:rsid w:val="00F43E81"/>
    <w:rsid w:val="00F452EB"/>
    <w:rsid w:val="00F5402D"/>
    <w:rsid w:val="00F5402E"/>
    <w:rsid w:val="00F6708E"/>
    <w:rsid w:val="00F966DD"/>
    <w:rsid w:val="00FC0B75"/>
    <w:rsid w:val="00FC77C5"/>
    <w:rsid w:val="00FD1B93"/>
    <w:rsid w:val="00FD3C75"/>
    <w:rsid w:val="00FD603F"/>
    <w:rsid w:val="00FE4631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B9D1"/>
  <w15:docId w15:val="{D540B064-86E0-4442-8061-8CE1E1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50"/>
  </w:style>
  <w:style w:type="paragraph" w:styleId="3">
    <w:name w:val="heading 3"/>
    <w:basedOn w:val="a"/>
    <w:link w:val="30"/>
    <w:uiPriority w:val="9"/>
    <w:qFormat/>
    <w:rsid w:val="001A4F0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526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4F08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526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A4F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4F08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8A77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A77D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8A77DD"/>
    <w:rPr>
      <w:vertAlign w:val="superscript"/>
    </w:rPr>
  </w:style>
  <w:style w:type="character" w:styleId="a7">
    <w:name w:val="Hyperlink"/>
    <w:basedOn w:val="a0"/>
    <w:uiPriority w:val="99"/>
    <w:unhideWhenUsed/>
    <w:rsid w:val="00AF7A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A6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A56C6E"/>
    <w:rPr>
      <w:i/>
      <w:iCs/>
    </w:rPr>
  </w:style>
  <w:style w:type="paragraph" w:styleId="a9">
    <w:name w:val="List Paragraph"/>
    <w:basedOn w:val="a"/>
    <w:uiPriority w:val="34"/>
    <w:qFormat/>
    <w:rsid w:val="006F6550"/>
    <w:pPr>
      <w:ind w:left="720"/>
      <w:contextualSpacing/>
    </w:pPr>
    <w:rPr>
      <w:rFonts w:asciiTheme="minorHAnsi" w:hAnsiTheme="minorHAnsi"/>
      <w:sz w:val="22"/>
    </w:rPr>
  </w:style>
  <w:style w:type="table" w:styleId="aa">
    <w:name w:val="Table Grid"/>
    <w:basedOn w:val="a1"/>
    <w:uiPriority w:val="59"/>
    <w:rsid w:val="006F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6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6550"/>
  </w:style>
  <w:style w:type="table" w:customStyle="1" w:styleId="11">
    <w:name w:val="Сетка таблицы11"/>
    <w:basedOn w:val="a1"/>
    <w:uiPriority w:val="39"/>
    <w:rsid w:val="00DE3B7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2F5265"/>
    <w:pPr>
      <w:spacing w:after="100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rsid w:val="002F5265"/>
    <w:pPr>
      <w:tabs>
        <w:tab w:val="left" w:pos="567"/>
        <w:tab w:val="right" w:leader="dot" w:pos="9345"/>
      </w:tabs>
      <w:spacing w:after="0" w:line="360" w:lineRule="auto"/>
      <w:ind w:left="220"/>
      <w:jc w:val="center"/>
    </w:pPr>
    <w:rPr>
      <w:rFonts w:cs="Times New Roman"/>
      <w:b/>
      <w:noProof/>
      <w:szCs w:val="28"/>
    </w:rPr>
  </w:style>
  <w:style w:type="character" w:customStyle="1" w:styleId="qwen-markdown-text">
    <w:name w:val="qwen-markdown-text"/>
    <w:basedOn w:val="a0"/>
    <w:rsid w:val="002F5265"/>
  </w:style>
  <w:style w:type="paragraph" w:styleId="ad">
    <w:name w:val="header"/>
    <w:basedOn w:val="a"/>
    <w:link w:val="ae"/>
    <w:uiPriority w:val="99"/>
    <w:unhideWhenUsed/>
    <w:rsid w:val="002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5265"/>
  </w:style>
  <w:style w:type="paragraph" w:customStyle="1" w:styleId="Default">
    <w:name w:val="Default"/>
    <w:rsid w:val="002F526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135A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D36CF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42830"/>
    <w:rPr>
      <w:color w:val="954F72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536B2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E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vkynbf" TargetMode="External"/><Relationship Id="rId13" Type="http://schemas.openxmlformats.org/officeDocument/2006/relationships/hyperlink" Target="https://doi.org/10.4337/9781800887121.0001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bnslrq" TargetMode="External"/><Relationship Id="rId17" Type="http://schemas.openxmlformats.org/officeDocument/2006/relationships/hyperlink" Target="https://elibrary.ru/hrzsk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668-025-07298-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wpxuw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uwmava" TargetMode="External"/><Relationship Id="rId10" Type="http://schemas.openxmlformats.org/officeDocument/2006/relationships/hyperlink" Target="https://elibrary.ru/wdcj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7202/1015716ar" TargetMode="External"/><Relationship Id="rId14" Type="http://schemas.openxmlformats.org/officeDocument/2006/relationships/hyperlink" Target="https://elibrary.ru/cqbd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9A4D-3CCB-498B-9C57-D183616F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Alexandra</cp:lastModifiedBy>
  <cp:revision>4</cp:revision>
  <dcterms:created xsi:type="dcterms:W3CDTF">2026-07-01T05:54:00Z</dcterms:created>
  <dcterms:modified xsi:type="dcterms:W3CDTF">2026-07-01T06:02:00Z</dcterms:modified>
</cp:coreProperties>
</file>